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11E4" w14:textId="53D7B97D" w:rsidR="00005BF9" w:rsidRPr="00005BF9" w:rsidRDefault="00005BF9" w:rsidP="003E34A8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05BF9">
        <w:rPr>
          <w:rFonts w:ascii="Calibri" w:hAnsi="Calibri" w:cs="Calibri"/>
          <w:b/>
          <w:bCs/>
        </w:rPr>
        <w:t>Opacity and trust in institutions</w:t>
      </w:r>
    </w:p>
    <w:p w14:paraId="568349A4" w14:textId="48E468AC" w:rsidR="00005BF9" w:rsidRPr="00005BF9" w:rsidRDefault="00005BF9" w:rsidP="003E34A8">
      <w:pPr>
        <w:spacing w:line="276" w:lineRule="auto"/>
        <w:jc w:val="both"/>
        <w:rPr>
          <w:rFonts w:ascii="Calibri" w:hAnsi="Calibri" w:cs="Calibri"/>
        </w:rPr>
      </w:pPr>
      <w:r w:rsidRPr="00005BF9">
        <w:rPr>
          <w:rFonts w:ascii="Calibri" w:hAnsi="Calibri" w:cs="Calibri"/>
          <w:i/>
          <w:iCs/>
        </w:rPr>
        <w:t xml:space="preserve">Trust, respect, </w:t>
      </w:r>
      <w:r w:rsidRPr="00FC7E6B">
        <w:rPr>
          <w:rFonts w:ascii="Calibri" w:hAnsi="Calibri" w:cs="Calibri"/>
          <w:i/>
          <w:iCs/>
        </w:rPr>
        <w:t>recognition</w:t>
      </w:r>
      <w:r w:rsidR="00FC7E6B" w:rsidRPr="00FC7E6B">
        <w:rPr>
          <w:rFonts w:ascii="Calibri" w:hAnsi="Calibri" w:cs="Calibri"/>
          <w:i/>
          <w:iCs/>
        </w:rPr>
        <w:t xml:space="preserve"> panel, </w:t>
      </w:r>
      <w:r w:rsidRPr="00FC7E6B">
        <w:rPr>
          <w:rFonts w:ascii="Calibri" w:hAnsi="Calibri" w:cs="Calibri"/>
          <w:i/>
          <w:iCs/>
        </w:rPr>
        <w:t>PERITIA, Dublin, 24/3/23</w:t>
      </w:r>
    </w:p>
    <w:p w14:paraId="2A5DEB18" w14:textId="751AE803" w:rsidR="00005BF9" w:rsidRDefault="00005BF9" w:rsidP="003E34A8">
      <w:pPr>
        <w:spacing w:line="276" w:lineRule="auto"/>
        <w:jc w:val="both"/>
        <w:rPr>
          <w:rFonts w:ascii="Calibri" w:hAnsi="Calibri" w:cs="Calibri"/>
        </w:rPr>
      </w:pPr>
    </w:p>
    <w:p w14:paraId="2443B5E6" w14:textId="77777777" w:rsidR="003E34A8" w:rsidRPr="00005BF9" w:rsidRDefault="003E34A8" w:rsidP="003E34A8">
      <w:pPr>
        <w:spacing w:line="276" w:lineRule="auto"/>
        <w:jc w:val="both"/>
        <w:rPr>
          <w:rFonts w:ascii="Calibri" w:hAnsi="Calibri" w:cs="Calibri"/>
        </w:rPr>
      </w:pPr>
    </w:p>
    <w:p w14:paraId="6184702A" w14:textId="05CE5806" w:rsidR="00005BF9" w:rsidRPr="00005BF9" w:rsidRDefault="00005BF9" w:rsidP="003E34A8">
      <w:pPr>
        <w:spacing w:line="276" w:lineRule="auto"/>
        <w:jc w:val="both"/>
        <w:rPr>
          <w:rFonts w:ascii="Calibri" w:hAnsi="Calibri" w:cs="Calibri"/>
        </w:rPr>
      </w:pPr>
      <w:r w:rsidRPr="00005BF9">
        <w:rPr>
          <w:rFonts w:ascii="Calibri" w:hAnsi="Calibri" w:cs="Calibri"/>
        </w:rPr>
        <w:t>This talk is based on work with Havi Carel, University of Bristol</w:t>
      </w:r>
      <w:r w:rsidR="007E39A8">
        <w:rPr>
          <w:rFonts w:ascii="Calibri" w:hAnsi="Calibri" w:cs="Calibri"/>
        </w:rPr>
        <w:t xml:space="preserve"> (</w:t>
      </w:r>
      <w:r w:rsidR="0046738A">
        <w:rPr>
          <w:rFonts w:ascii="Calibri" w:hAnsi="Calibri" w:cs="Calibri"/>
        </w:rPr>
        <w:t xml:space="preserve">cf. </w:t>
      </w:r>
      <w:r w:rsidR="007E39A8">
        <w:rPr>
          <w:rFonts w:ascii="Calibri" w:hAnsi="Calibri" w:cs="Calibri"/>
        </w:rPr>
        <w:t>Carel and Kidd 2022).</w:t>
      </w:r>
    </w:p>
    <w:p w14:paraId="4103840C" w14:textId="77777777" w:rsidR="00FC7E6B" w:rsidRPr="003E34A8" w:rsidRDefault="00FC7E6B" w:rsidP="003E34A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09760329" w14:textId="0746BF77" w:rsidR="00FC7E6B" w:rsidRPr="00FC7E6B" w:rsidRDefault="00FC7E6B" w:rsidP="003E34A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We describe a phenomenon we call </w:t>
      </w:r>
      <w:r>
        <w:rPr>
          <w:rFonts w:ascii="Calibri" w:hAnsi="Calibri" w:cs="Calibri"/>
          <w:b/>
          <w:bCs/>
        </w:rPr>
        <w:t xml:space="preserve">institutional opacity </w:t>
      </w:r>
      <w:r>
        <w:rPr>
          <w:rFonts w:ascii="Calibri" w:hAnsi="Calibri" w:cs="Calibri"/>
        </w:rPr>
        <w:t xml:space="preserve">and give four reasons it is a problem for trust in institutions. </w:t>
      </w:r>
    </w:p>
    <w:p w14:paraId="57284747" w14:textId="34BE5EB6" w:rsidR="005433C6" w:rsidRDefault="005433C6" w:rsidP="003E34A8">
      <w:pPr>
        <w:spacing w:line="276" w:lineRule="auto"/>
        <w:jc w:val="both"/>
        <w:rPr>
          <w:rFonts w:ascii="Calibri" w:hAnsi="Calibri" w:cs="Calibri"/>
        </w:rPr>
      </w:pPr>
    </w:p>
    <w:p w14:paraId="064443F0" w14:textId="77777777" w:rsidR="004F16A9" w:rsidRDefault="004F16A9" w:rsidP="003E34A8">
      <w:pPr>
        <w:spacing w:line="276" w:lineRule="auto"/>
        <w:jc w:val="both"/>
        <w:rPr>
          <w:rFonts w:ascii="Calibri" w:hAnsi="Calibri" w:cs="Calibri"/>
        </w:rPr>
      </w:pPr>
    </w:p>
    <w:p w14:paraId="13A86657" w14:textId="3E859455" w:rsidR="005433C6" w:rsidRDefault="005433C6" w:rsidP="003E34A8">
      <w:pPr>
        <w:spacing w:line="276" w:lineRule="auto"/>
        <w:jc w:val="both"/>
        <w:rPr>
          <w:rFonts w:ascii="Calibri" w:hAnsi="Calibri" w:cs="Calibri"/>
          <w:b/>
          <w:bCs/>
        </w:rPr>
      </w:pPr>
      <w:r w:rsidRPr="005433C6">
        <w:rPr>
          <w:rFonts w:ascii="Calibri" w:hAnsi="Calibri" w:cs="Calibri"/>
          <w:b/>
          <w:bCs/>
        </w:rPr>
        <w:t xml:space="preserve">Institutional </w:t>
      </w:r>
      <w:r>
        <w:rPr>
          <w:rFonts w:ascii="Calibri" w:hAnsi="Calibri" w:cs="Calibri"/>
          <w:b/>
          <w:bCs/>
        </w:rPr>
        <w:t>opacity.</w:t>
      </w:r>
    </w:p>
    <w:p w14:paraId="7C42058B" w14:textId="4A352159" w:rsidR="005433C6" w:rsidRDefault="00005BF9" w:rsidP="003E34A8">
      <w:pPr>
        <w:spacing w:line="276" w:lineRule="auto"/>
        <w:jc w:val="both"/>
        <w:rPr>
          <w:rFonts w:ascii="Calibri" w:hAnsi="Calibri" w:cs="Calibri"/>
        </w:rPr>
      </w:pPr>
      <w:r w:rsidRPr="00005BF9">
        <w:rPr>
          <w:rFonts w:ascii="Calibri" w:hAnsi="Calibri" w:cs="Calibri"/>
        </w:rPr>
        <w:t xml:space="preserve">Institutional opacity is a general tendency </w:t>
      </w:r>
      <w:r w:rsidR="005433C6">
        <w:rPr>
          <w:rFonts w:ascii="Calibri" w:hAnsi="Calibri" w:cs="Calibri"/>
        </w:rPr>
        <w:t>of</w:t>
      </w:r>
      <w:r w:rsidRPr="00005BF9">
        <w:rPr>
          <w:rFonts w:ascii="Calibri" w:hAnsi="Calibri" w:cs="Calibri"/>
        </w:rPr>
        <w:t xml:space="preserve"> large</w:t>
      </w:r>
      <w:r w:rsidR="005433C6">
        <w:rPr>
          <w:rFonts w:ascii="Calibri" w:hAnsi="Calibri" w:cs="Calibri"/>
        </w:rPr>
        <w:t>, specialised,</w:t>
      </w:r>
      <w:r w:rsidRPr="00005BF9">
        <w:rPr>
          <w:rFonts w:ascii="Calibri" w:hAnsi="Calibri" w:cs="Calibri"/>
        </w:rPr>
        <w:t xml:space="preserve"> internally complex institutions to increasingly become resistant to </w:t>
      </w:r>
      <w:r w:rsidR="00561472">
        <w:rPr>
          <w:rFonts w:ascii="Calibri" w:hAnsi="Calibri" w:cs="Calibri"/>
        </w:rPr>
        <w:t xml:space="preserve">epistemic </w:t>
      </w:r>
      <w:r w:rsidR="00AA401B" w:rsidRPr="00005BF9">
        <w:rPr>
          <w:rFonts w:ascii="Calibri" w:hAnsi="Calibri" w:cs="Calibri"/>
        </w:rPr>
        <w:t>assessment</w:t>
      </w:r>
      <w:r w:rsidR="003E34A8">
        <w:rPr>
          <w:rFonts w:ascii="Calibri" w:hAnsi="Calibri" w:cs="Calibri"/>
        </w:rPr>
        <w:t xml:space="preserve"> </w:t>
      </w:r>
      <w:r w:rsidRPr="00005BF9">
        <w:rPr>
          <w:rFonts w:ascii="Calibri" w:hAnsi="Calibri" w:cs="Calibri"/>
        </w:rPr>
        <w:t xml:space="preserve">and understanding. </w:t>
      </w:r>
    </w:p>
    <w:p w14:paraId="0ADD1BFE" w14:textId="3654AEFF" w:rsidR="005433C6" w:rsidRDefault="005433C6" w:rsidP="003E34A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Comments:</w:t>
      </w:r>
    </w:p>
    <w:p w14:paraId="69CA4247" w14:textId="0F5D8F3D" w:rsidR="005433C6" w:rsidRDefault="005433C6" w:rsidP="003E34A8">
      <w:pPr>
        <w:spacing w:line="276" w:lineRule="auto"/>
        <w:jc w:val="both"/>
        <w:rPr>
          <w:rFonts w:ascii="Calibri" w:hAnsi="Calibri" w:cs="Calibri"/>
        </w:rPr>
      </w:pPr>
    </w:p>
    <w:p w14:paraId="42082640" w14:textId="2B251F79" w:rsidR="004F16A9" w:rsidRPr="003E34A8" w:rsidRDefault="005433C6" w:rsidP="003E34A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Institutions can be </w:t>
      </w:r>
      <w:r w:rsidRPr="004F16A9">
        <w:rPr>
          <w:rFonts w:ascii="Calibri" w:hAnsi="Calibri" w:cs="Calibri"/>
          <w:b/>
          <w:bCs/>
        </w:rPr>
        <w:t>more or less opaque</w:t>
      </w:r>
      <w:r>
        <w:rPr>
          <w:rFonts w:ascii="Calibri" w:hAnsi="Calibri" w:cs="Calibri"/>
        </w:rPr>
        <w:t xml:space="preserve"> </w:t>
      </w:r>
      <w:r w:rsidR="004F16A9">
        <w:rPr>
          <w:rFonts w:ascii="Calibri" w:hAnsi="Calibri" w:cs="Calibri"/>
        </w:rPr>
        <w:t xml:space="preserve">in ways that </w:t>
      </w:r>
      <w:r w:rsidR="003E34A8">
        <w:rPr>
          <w:rFonts w:ascii="Calibri" w:hAnsi="Calibri" w:cs="Calibri"/>
        </w:rPr>
        <w:t xml:space="preserve">can </w:t>
      </w:r>
      <w:r w:rsidR="004F16A9">
        <w:rPr>
          <w:rFonts w:ascii="Calibri" w:hAnsi="Calibri" w:cs="Calibri"/>
        </w:rPr>
        <w:t>change</w:t>
      </w:r>
      <w:r>
        <w:rPr>
          <w:rFonts w:ascii="Calibri" w:hAnsi="Calibri" w:cs="Calibri"/>
        </w:rPr>
        <w:t xml:space="preserve"> over time.</w:t>
      </w:r>
    </w:p>
    <w:p w14:paraId="42D20CB4" w14:textId="20EEDF24" w:rsidR="005433C6" w:rsidRPr="003E34A8" w:rsidRDefault="005433C6" w:rsidP="003E34A8">
      <w:pPr>
        <w:pStyle w:val="ListParagraph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128C06D5" w14:textId="77777777" w:rsidR="003E34A8" w:rsidRPr="005433C6" w:rsidRDefault="003E34A8" w:rsidP="003E34A8">
      <w:pPr>
        <w:pStyle w:val="ListParagraph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4F1922A6" w14:textId="27DA517C" w:rsidR="005433C6" w:rsidRDefault="005433C6" w:rsidP="003E34A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Institutions can be </w:t>
      </w:r>
      <w:r w:rsidRPr="004F16A9">
        <w:rPr>
          <w:rFonts w:ascii="Calibri" w:hAnsi="Calibri" w:cs="Calibri"/>
          <w:b/>
          <w:bCs/>
        </w:rPr>
        <w:t>locally</w:t>
      </w:r>
      <w:r>
        <w:rPr>
          <w:rFonts w:ascii="Calibri" w:hAnsi="Calibri" w:cs="Calibri"/>
        </w:rPr>
        <w:t xml:space="preserve"> or </w:t>
      </w:r>
      <w:r w:rsidRPr="004F16A9">
        <w:rPr>
          <w:rFonts w:ascii="Calibri" w:hAnsi="Calibri" w:cs="Calibri"/>
          <w:b/>
          <w:bCs/>
        </w:rPr>
        <w:t>globally</w:t>
      </w:r>
      <w:r>
        <w:rPr>
          <w:rFonts w:ascii="Calibri" w:hAnsi="Calibri" w:cs="Calibri"/>
        </w:rPr>
        <w:t xml:space="preserve"> opaque.</w:t>
      </w:r>
    </w:p>
    <w:p w14:paraId="45C0BDB1" w14:textId="3F2435D5" w:rsidR="005433C6" w:rsidRDefault="005433C6" w:rsidP="003E34A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6B32095D" w14:textId="77777777" w:rsidR="004F16A9" w:rsidRPr="005433C6" w:rsidRDefault="004F16A9" w:rsidP="003E34A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36166EB6" w14:textId="3FDFA3A4" w:rsidR="005433C6" w:rsidRPr="005433C6" w:rsidRDefault="00005BF9" w:rsidP="003E34A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5433C6">
        <w:rPr>
          <w:rFonts w:ascii="Calibri" w:hAnsi="Calibri" w:cs="Calibri"/>
        </w:rPr>
        <w:t xml:space="preserve">Institutions may be </w:t>
      </w:r>
      <w:r w:rsidR="005433C6" w:rsidRPr="004F16A9">
        <w:rPr>
          <w:rFonts w:ascii="Calibri" w:hAnsi="Calibri" w:cs="Calibri"/>
          <w:b/>
          <w:bCs/>
        </w:rPr>
        <w:t>differentially opaque</w:t>
      </w:r>
      <w:r w:rsidR="00172169">
        <w:rPr>
          <w:rFonts w:ascii="Calibri" w:hAnsi="Calibri" w:cs="Calibri"/>
        </w:rPr>
        <w:t xml:space="preserve"> to</w:t>
      </w:r>
      <w:r w:rsidR="003E34A8">
        <w:rPr>
          <w:rFonts w:ascii="Calibri" w:hAnsi="Calibri" w:cs="Calibri"/>
        </w:rPr>
        <w:t xml:space="preserve"> agents, users, and third parties.</w:t>
      </w:r>
    </w:p>
    <w:p w14:paraId="0027BCFA" w14:textId="16E693CA" w:rsidR="005433C6" w:rsidRDefault="005433C6" w:rsidP="003E34A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26C06D0C" w14:textId="77777777" w:rsidR="004F16A9" w:rsidRPr="005433C6" w:rsidRDefault="004F16A9" w:rsidP="003E34A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7C626AE1" w14:textId="77777777" w:rsidR="005433C6" w:rsidRDefault="005433C6" w:rsidP="003E34A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5433C6">
        <w:rPr>
          <w:rFonts w:ascii="Calibri" w:hAnsi="Calibri" w:cs="Calibri"/>
        </w:rPr>
        <w:t xml:space="preserve">Some degree of opacity is </w:t>
      </w:r>
      <w:r w:rsidRPr="005433C6">
        <w:rPr>
          <w:rFonts w:ascii="Calibri" w:hAnsi="Calibri" w:cs="Calibri"/>
          <w:b/>
          <w:bCs/>
        </w:rPr>
        <w:t>unavoidable</w:t>
      </w:r>
      <w:r w:rsidRPr="005433C6">
        <w:rPr>
          <w:rFonts w:ascii="Calibri" w:hAnsi="Calibri" w:cs="Calibri"/>
        </w:rPr>
        <w:t>: some key features of institutions:</w:t>
      </w:r>
    </w:p>
    <w:p w14:paraId="4F9BF614" w14:textId="3DE19FF3" w:rsidR="005433C6" w:rsidRPr="004F16A9" w:rsidRDefault="00005BF9" w:rsidP="003E34A8">
      <w:pPr>
        <w:pStyle w:val="ListParagraph"/>
        <w:numPr>
          <w:ilvl w:val="0"/>
          <w:numId w:val="6"/>
        </w:numPr>
        <w:spacing w:line="276" w:lineRule="auto"/>
        <w:ind w:left="1418"/>
        <w:jc w:val="both"/>
        <w:rPr>
          <w:rFonts w:ascii="Calibri" w:hAnsi="Calibri" w:cs="Calibri"/>
        </w:rPr>
      </w:pPr>
      <w:r w:rsidRPr="004F16A9">
        <w:rPr>
          <w:rFonts w:ascii="Calibri" w:hAnsi="Calibri" w:cs="Calibri"/>
        </w:rPr>
        <w:t>large</w:t>
      </w:r>
      <w:r w:rsidR="005433C6" w:rsidRPr="004F16A9">
        <w:rPr>
          <w:rFonts w:ascii="Calibri" w:hAnsi="Calibri" w:cs="Calibri"/>
        </w:rPr>
        <w:t>,</w:t>
      </w:r>
      <w:r w:rsidRPr="004F16A9">
        <w:rPr>
          <w:rFonts w:ascii="Calibri" w:hAnsi="Calibri" w:cs="Calibri"/>
        </w:rPr>
        <w:t xml:space="preserve"> hierarchical</w:t>
      </w:r>
      <w:r w:rsidR="005433C6" w:rsidRPr="004F16A9">
        <w:rPr>
          <w:rFonts w:ascii="Calibri" w:hAnsi="Calibri" w:cs="Calibri"/>
        </w:rPr>
        <w:t>,</w:t>
      </w:r>
      <w:r w:rsidRPr="004F16A9">
        <w:rPr>
          <w:rFonts w:ascii="Calibri" w:hAnsi="Calibri" w:cs="Calibri"/>
        </w:rPr>
        <w:t xml:space="preserve"> and compartmentalised</w:t>
      </w:r>
      <w:r w:rsidR="005433C6" w:rsidRPr="004F16A9">
        <w:rPr>
          <w:rFonts w:ascii="Calibri" w:hAnsi="Calibri" w:cs="Calibri"/>
        </w:rPr>
        <w:t>.</w:t>
      </w:r>
    </w:p>
    <w:p w14:paraId="00EECE78" w14:textId="5CA52DD6" w:rsidR="005433C6" w:rsidRDefault="004F16A9" w:rsidP="003E34A8">
      <w:pPr>
        <w:pStyle w:val="ListParagraph"/>
        <w:numPr>
          <w:ilvl w:val="0"/>
          <w:numId w:val="6"/>
        </w:numPr>
        <w:spacing w:line="276" w:lineRule="auto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distinctive </w:t>
      </w:r>
      <w:r w:rsidR="00005BF9" w:rsidRPr="005433C6">
        <w:rPr>
          <w:rFonts w:ascii="Calibri" w:hAnsi="Calibri" w:cs="Calibri"/>
        </w:rPr>
        <w:t>norms, routines, and</w:t>
      </w:r>
      <w:r>
        <w:rPr>
          <w:rFonts w:ascii="Calibri" w:hAnsi="Calibri" w:cs="Calibri"/>
        </w:rPr>
        <w:t xml:space="preserve"> stipulated styles of interpersonal interaction.</w:t>
      </w:r>
    </w:p>
    <w:p w14:paraId="7D6EB3F1" w14:textId="77777777" w:rsidR="005433C6" w:rsidRDefault="00005BF9" w:rsidP="003E34A8">
      <w:pPr>
        <w:pStyle w:val="ListParagraph"/>
        <w:numPr>
          <w:ilvl w:val="0"/>
          <w:numId w:val="6"/>
        </w:numPr>
        <w:spacing w:line="276" w:lineRule="auto"/>
        <w:ind w:left="1418"/>
        <w:jc w:val="both"/>
        <w:rPr>
          <w:rFonts w:ascii="Calibri" w:hAnsi="Calibri" w:cs="Calibri"/>
        </w:rPr>
      </w:pPr>
      <w:r w:rsidRPr="005433C6">
        <w:rPr>
          <w:rFonts w:ascii="Calibri" w:hAnsi="Calibri" w:cs="Calibri"/>
        </w:rPr>
        <w:t>periodic restructurings</w:t>
      </w:r>
      <w:r w:rsidR="005433C6" w:rsidRPr="005433C6">
        <w:rPr>
          <w:rFonts w:ascii="Calibri" w:hAnsi="Calibri" w:cs="Calibri"/>
        </w:rPr>
        <w:t>, redefinition of roles and responsibilities.</w:t>
      </w:r>
    </w:p>
    <w:p w14:paraId="6744930F" w14:textId="6D365E92" w:rsidR="004F16A9" w:rsidRPr="003E34A8" w:rsidRDefault="00005BF9" w:rsidP="003E34A8">
      <w:pPr>
        <w:pStyle w:val="ListParagraph"/>
        <w:numPr>
          <w:ilvl w:val="0"/>
          <w:numId w:val="6"/>
        </w:numPr>
        <w:spacing w:line="276" w:lineRule="auto"/>
        <w:ind w:left="1418"/>
        <w:jc w:val="both"/>
        <w:rPr>
          <w:rFonts w:ascii="Calibri" w:hAnsi="Calibri" w:cs="Calibri"/>
        </w:rPr>
      </w:pPr>
      <w:r w:rsidRPr="005433C6">
        <w:rPr>
          <w:rFonts w:ascii="Calibri" w:hAnsi="Calibri" w:cs="Calibri"/>
        </w:rPr>
        <w:t xml:space="preserve">terminologies, acronyms, abbreviations, </w:t>
      </w:r>
      <w:r w:rsidR="005433C6" w:rsidRPr="005433C6">
        <w:rPr>
          <w:rFonts w:ascii="Calibri" w:hAnsi="Calibri" w:cs="Calibri"/>
        </w:rPr>
        <w:t>informal idiolects.</w:t>
      </w:r>
    </w:p>
    <w:p w14:paraId="1F3305D9" w14:textId="3557632E" w:rsidR="004F16A9" w:rsidRDefault="004F16A9" w:rsidP="003E34A8">
      <w:pPr>
        <w:pStyle w:val="NormalWeb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Such features make it difficult to ‘see’ and understand the institution’s arrangements and operations, which in turn makes it </w:t>
      </w:r>
      <w:r w:rsidR="00512A09">
        <w:rPr>
          <w:rFonts w:ascii="Calibri" w:hAnsi="Calibri" w:cs="Calibri"/>
        </w:rPr>
        <w:t>increasingly difficult</w:t>
      </w:r>
      <w:r>
        <w:rPr>
          <w:rFonts w:ascii="Calibri" w:hAnsi="Calibri" w:cs="Calibri"/>
        </w:rPr>
        <w:t xml:space="preserve"> to engage in critical assessment. What is opaque, depending on context, could include:</w:t>
      </w:r>
    </w:p>
    <w:p w14:paraId="0EC26FF4" w14:textId="38EB2191" w:rsidR="004F16A9" w:rsidRDefault="004F16A9" w:rsidP="003E34A8">
      <w:pPr>
        <w:pStyle w:val="NormalWeb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 decisions and actions</w:t>
      </w:r>
      <w:r w:rsidR="003E34A8">
        <w:rPr>
          <w:rFonts w:ascii="Calibri" w:hAnsi="Calibri" w:cs="Calibri"/>
        </w:rPr>
        <w:t>.</w:t>
      </w:r>
    </w:p>
    <w:p w14:paraId="4569E8EC" w14:textId="6890581A" w:rsidR="004F16A9" w:rsidRDefault="004F16A9" w:rsidP="003E34A8">
      <w:pPr>
        <w:pStyle w:val="NormalWeb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whole chains of decision-making – ‘all along the line’ or at specific key stages.</w:t>
      </w:r>
    </w:p>
    <w:p w14:paraId="2F06D8F8" w14:textId="77777777" w:rsidR="004F16A9" w:rsidRDefault="004F16A9" w:rsidP="003E34A8">
      <w:pPr>
        <w:pStyle w:val="NormalWeb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patterns of investment and prioritisation (and disinvestment and deprioritization).</w:t>
      </w:r>
    </w:p>
    <w:p w14:paraId="246C7ED4" w14:textId="77777777" w:rsidR="003E34A8" w:rsidRDefault="003E34A8" w:rsidP="003E34A8">
      <w:pPr>
        <w:pStyle w:val="NormalWeb"/>
        <w:spacing w:line="276" w:lineRule="auto"/>
        <w:jc w:val="both"/>
        <w:rPr>
          <w:rFonts w:ascii="Calibri" w:hAnsi="Calibri" w:cs="Calibri"/>
          <w:b/>
          <w:bCs/>
        </w:rPr>
      </w:pPr>
    </w:p>
    <w:p w14:paraId="2730A347" w14:textId="5E074D77" w:rsidR="005433C6" w:rsidRDefault="005433C6" w:rsidP="003E34A8">
      <w:pPr>
        <w:pStyle w:val="NormalWeb"/>
        <w:spacing w:line="276" w:lineRule="auto"/>
        <w:jc w:val="both"/>
        <w:rPr>
          <w:rFonts w:ascii="Calibri" w:hAnsi="Calibri" w:cs="Calibri"/>
          <w:b/>
          <w:bCs/>
        </w:rPr>
      </w:pPr>
      <w:r w:rsidRPr="004F16A9">
        <w:rPr>
          <w:rFonts w:ascii="Calibri" w:hAnsi="Calibri" w:cs="Calibri"/>
          <w:b/>
          <w:bCs/>
        </w:rPr>
        <w:t>The costs of institutional opacity</w:t>
      </w:r>
      <w:r w:rsidR="003E34A8">
        <w:rPr>
          <w:rFonts w:ascii="Calibri" w:hAnsi="Calibri" w:cs="Calibri"/>
          <w:b/>
          <w:bCs/>
        </w:rPr>
        <w:t>.</w:t>
      </w:r>
    </w:p>
    <w:p w14:paraId="5F6B18AB" w14:textId="682C9A69" w:rsidR="004F16A9" w:rsidRDefault="004F16A9" w:rsidP="003E34A8">
      <w:pPr>
        <w:pStyle w:val="NormalWeb"/>
        <w:spacing w:line="276" w:lineRule="auto"/>
        <w:jc w:val="both"/>
        <w:rPr>
          <w:rFonts w:ascii="Calibri" w:hAnsi="Calibri" w:cs="Calibri"/>
        </w:rPr>
      </w:pPr>
      <w:r w:rsidRPr="00005BF9">
        <w:rPr>
          <w:rFonts w:ascii="Calibri" w:hAnsi="Calibri" w:cs="Calibri"/>
        </w:rPr>
        <w:t>Institutional opacity characterises situations where the institution</w:t>
      </w:r>
      <w:r>
        <w:rPr>
          <w:rFonts w:ascii="Calibri" w:hAnsi="Calibri" w:cs="Calibri"/>
        </w:rPr>
        <w:t xml:space="preserve">—or aspects thereof—has become </w:t>
      </w:r>
      <w:r w:rsidRPr="00005BF9">
        <w:rPr>
          <w:rFonts w:ascii="Calibri" w:hAnsi="Calibri" w:cs="Calibri"/>
        </w:rPr>
        <w:t xml:space="preserve">increasingly resistant to </w:t>
      </w:r>
      <w:r w:rsidR="00FF3D65">
        <w:rPr>
          <w:rFonts w:ascii="Calibri" w:hAnsi="Calibri" w:cs="Calibri"/>
        </w:rPr>
        <w:t xml:space="preserve">epistemic </w:t>
      </w:r>
      <w:r w:rsidRPr="00005BF9">
        <w:rPr>
          <w:rFonts w:ascii="Calibri" w:hAnsi="Calibri" w:cs="Calibri"/>
        </w:rPr>
        <w:t>assessment and understanding</w:t>
      </w:r>
      <w:r w:rsidR="00FF3D65">
        <w:rPr>
          <w:rFonts w:ascii="Calibri" w:hAnsi="Calibri" w:cs="Calibri"/>
        </w:rPr>
        <w:t>.</w:t>
      </w:r>
    </w:p>
    <w:p w14:paraId="122CA6C8" w14:textId="5FAA5F66" w:rsidR="00FF3D65" w:rsidRDefault="00FF3D65" w:rsidP="003E34A8">
      <w:pPr>
        <w:pStyle w:val="NormalWeb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Note the obvious solution – more transparency! – is also problematic (Nguyen 2022). </w:t>
      </w:r>
    </w:p>
    <w:p w14:paraId="3832EE80" w14:textId="0660BE81" w:rsidR="003E34A8" w:rsidRPr="003E34A8" w:rsidRDefault="003E34A8" w:rsidP="003E34A8">
      <w:pPr>
        <w:pStyle w:val="NormalWeb"/>
        <w:spacing w:line="276" w:lineRule="auto"/>
        <w:jc w:val="both"/>
        <w:rPr>
          <w:rFonts w:ascii="Calibri" w:hAnsi="Calibri" w:cs="Calibri"/>
          <w:b/>
          <w:bCs/>
          <w:sz w:val="2"/>
          <w:szCs w:val="2"/>
        </w:rPr>
      </w:pPr>
      <w:r>
        <w:rPr>
          <w:rFonts w:ascii="Calibri" w:hAnsi="Calibri" w:cs="Calibri"/>
          <w:b/>
          <w:bCs/>
        </w:rPr>
        <w:lastRenderedPageBreak/>
        <w:t>Problems of opacity (1): epistemic agency</w:t>
      </w:r>
      <w:r w:rsidR="00867995">
        <w:rPr>
          <w:rFonts w:ascii="Calibri" w:hAnsi="Calibri" w:cs="Calibri"/>
          <w:b/>
          <w:bCs/>
        </w:rPr>
        <w:t>.</w:t>
      </w:r>
    </w:p>
    <w:p w14:paraId="71D14643" w14:textId="3CD31499" w:rsidR="003E34A8" w:rsidRPr="003E34A8" w:rsidRDefault="003E34A8" w:rsidP="003E34A8">
      <w:pPr>
        <w:pStyle w:val="NormalWeb"/>
        <w:spacing w:line="276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14:paraId="51D4E138" w14:textId="788CB164" w:rsidR="00697146" w:rsidRDefault="00005BF9" w:rsidP="003E34A8">
      <w:pPr>
        <w:pStyle w:val="NormalWeb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F16A9">
        <w:rPr>
          <w:rFonts w:ascii="Calibri" w:hAnsi="Calibri" w:cs="Calibri"/>
        </w:rPr>
        <w:t xml:space="preserve">Institutional opacity imposes </w:t>
      </w:r>
      <w:r w:rsidRPr="00697146">
        <w:rPr>
          <w:rFonts w:ascii="Calibri" w:hAnsi="Calibri" w:cs="Calibri"/>
          <w:b/>
          <w:bCs/>
        </w:rPr>
        <w:t>high epistemic demands</w:t>
      </w:r>
      <w:r w:rsidRPr="004F16A9">
        <w:rPr>
          <w:rFonts w:ascii="Calibri" w:hAnsi="Calibri" w:cs="Calibri"/>
        </w:rPr>
        <w:t xml:space="preserve"> on agents and users</w:t>
      </w:r>
      <w:r w:rsidR="004F16A9">
        <w:rPr>
          <w:rFonts w:ascii="Calibri" w:hAnsi="Calibri" w:cs="Calibri"/>
        </w:rPr>
        <w:t xml:space="preserve"> (</w:t>
      </w:r>
      <w:r w:rsidR="00697146">
        <w:rPr>
          <w:rFonts w:ascii="Calibri" w:hAnsi="Calibri" w:cs="Calibri"/>
        </w:rPr>
        <w:t>one will need new or enhanced kinds of</w:t>
      </w:r>
      <w:r w:rsidR="004F16A9">
        <w:rPr>
          <w:rFonts w:ascii="Calibri" w:hAnsi="Calibri" w:cs="Calibri"/>
        </w:rPr>
        <w:t xml:space="preserve"> confidence, understanding, investigative abili</w:t>
      </w:r>
      <w:r w:rsidR="00527E9E">
        <w:rPr>
          <w:rFonts w:ascii="Calibri" w:hAnsi="Calibri" w:cs="Calibri"/>
        </w:rPr>
        <w:t>ties</w:t>
      </w:r>
      <w:r w:rsidR="004F16A9">
        <w:rPr>
          <w:rFonts w:ascii="Calibri" w:hAnsi="Calibri" w:cs="Calibri"/>
        </w:rPr>
        <w:t xml:space="preserve">, </w:t>
      </w:r>
      <w:r w:rsidR="00697146">
        <w:rPr>
          <w:rFonts w:ascii="Calibri" w:hAnsi="Calibri" w:cs="Calibri"/>
        </w:rPr>
        <w:t xml:space="preserve">and </w:t>
      </w:r>
      <w:r w:rsidR="004F16A9" w:rsidRPr="004F16A9">
        <w:rPr>
          <w:rFonts w:ascii="Calibri" w:hAnsi="Calibri" w:cs="Calibri"/>
        </w:rPr>
        <w:t>communicative competence</w:t>
      </w:r>
      <w:r w:rsidR="00110AEF">
        <w:rPr>
          <w:rFonts w:ascii="Calibri" w:hAnsi="Calibri" w:cs="Calibri"/>
        </w:rPr>
        <w:t>s).</w:t>
      </w:r>
    </w:p>
    <w:p w14:paraId="7A63022A" w14:textId="77777777" w:rsidR="007E39A8" w:rsidRPr="007E39A8" w:rsidRDefault="007E39A8" w:rsidP="003E34A8">
      <w:pPr>
        <w:pStyle w:val="NormalWeb"/>
        <w:spacing w:line="276" w:lineRule="auto"/>
        <w:ind w:left="720"/>
        <w:jc w:val="both"/>
        <w:rPr>
          <w:rFonts w:ascii="Calibri" w:hAnsi="Calibri" w:cs="Calibri"/>
          <w:sz w:val="10"/>
          <w:szCs w:val="10"/>
        </w:rPr>
      </w:pPr>
    </w:p>
    <w:p w14:paraId="497034ED" w14:textId="2E9FBC3B" w:rsidR="007E39A8" w:rsidRPr="003E34A8" w:rsidRDefault="00697146" w:rsidP="003E34A8">
      <w:pPr>
        <w:pStyle w:val="NormalWeb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Institutional opacity</w:t>
      </w:r>
      <w:r w:rsidRPr="00005BF9">
        <w:rPr>
          <w:rFonts w:ascii="Calibri" w:hAnsi="Calibri" w:cs="Calibri"/>
          <w:i/>
          <w:iCs/>
        </w:rPr>
        <w:t xml:space="preserve"> </w:t>
      </w:r>
      <w:r w:rsidRPr="00697146">
        <w:rPr>
          <w:rFonts w:ascii="Calibri" w:hAnsi="Calibri" w:cs="Calibri"/>
        </w:rPr>
        <w:t>impedes</w:t>
      </w:r>
      <w:r w:rsidRPr="00697146">
        <w:rPr>
          <w:rFonts w:ascii="Calibri" w:hAnsi="Calibri" w:cs="Calibri"/>
          <w:b/>
          <w:bCs/>
          <w:i/>
          <w:iCs/>
        </w:rPr>
        <w:t xml:space="preserve"> </w:t>
      </w:r>
      <w:r w:rsidRPr="00697146">
        <w:rPr>
          <w:rFonts w:ascii="Calibri" w:hAnsi="Calibri" w:cs="Calibri"/>
          <w:b/>
          <w:bCs/>
        </w:rPr>
        <w:t>individual</w:t>
      </w:r>
      <w:r w:rsidRPr="00697146">
        <w:rPr>
          <w:rFonts w:ascii="Calibri" w:hAnsi="Calibri" w:cs="Calibri"/>
          <w:b/>
          <w:bCs/>
          <w:i/>
          <w:iCs/>
        </w:rPr>
        <w:t xml:space="preserve"> </w:t>
      </w:r>
      <w:r w:rsidRPr="00697146">
        <w:rPr>
          <w:rFonts w:ascii="Calibri" w:hAnsi="Calibri" w:cs="Calibri"/>
          <w:b/>
          <w:bCs/>
        </w:rPr>
        <w:t>epistemic agency</w:t>
      </w:r>
      <w:r>
        <w:rPr>
          <w:rFonts w:ascii="Calibri" w:hAnsi="Calibri" w:cs="Calibri"/>
        </w:rPr>
        <w:t xml:space="preserve"> by obscuring the relevant standards, conditions, decision-making procedures, and styles of comportment that enable one to perform as a confident, credible epistemic agent.</w:t>
      </w:r>
    </w:p>
    <w:p w14:paraId="688A7B91" w14:textId="53F2CBCD" w:rsidR="00697146" w:rsidRDefault="00697146" w:rsidP="003E34A8">
      <w:pPr>
        <w:pStyle w:val="NormalWeb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E34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Such </w:t>
      </w:r>
      <w:r w:rsidR="003E34A8">
        <w:rPr>
          <w:rFonts w:ascii="Calibri" w:hAnsi="Calibri" w:cs="Calibri"/>
        </w:rPr>
        <w:t>effects</w:t>
      </w:r>
      <w:r>
        <w:rPr>
          <w:rFonts w:ascii="Calibri" w:hAnsi="Calibri" w:cs="Calibri"/>
        </w:rPr>
        <w:t xml:space="preserve"> will be disproportionately </w:t>
      </w:r>
      <w:proofErr w:type="gramStart"/>
      <w:r w:rsidR="003E34A8">
        <w:rPr>
          <w:rFonts w:ascii="Calibri" w:hAnsi="Calibri" w:cs="Calibri"/>
        </w:rPr>
        <w:t>affect</w:t>
      </w:r>
      <w:proofErr w:type="gramEnd"/>
      <w:r>
        <w:rPr>
          <w:rFonts w:ascii="Calibri" w:hAnsi="Calibri" w:cs="Calibri"/>
        </w:rPr>
        <w:t xml:space="preserve"> certain – usually marginalised – social groups.</w:t>
      </w:r>
    </w:p>
    <w:p w14:paraId="03556676" w14:textId="77777777" w:rsidR="00697146" w:rsidRDefault="00697146" w:rsidP="003E34A8">
      <w:pPr>
        <w:pStyle w:val="NormalWeb"/>
        <w:spacing w:line="276" w:lineRule="auto"/>
        <w:jc w:val="both"/>
        <w:rPr>
          <w:rFonts w:ascii="Calibri" w:hAnsi="Calibri" w:cs="Calibri"/>
        </w:rPr>
      </w:pPr>
    </w:p>
    <w:p w14:paraId="34AD6AAE" w14:textId="035ED775" w:rsidR="00697146" w:rsidRDefault="003E34A8" w:rsidP="003E34A8">
      <w:pPr>
        <w:pStyle w:val="NormalWeb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Problems of opacity </w:t>
      </w:r>
      <w:r w:rsidR="00697146">
        <w:rPr>
          <w:rFonts w:ascii="Calibri" w:hAnsi="Calibri" w:cs="Calibri"/>
          <w:b/>
          <w:bCs/>
        </w:rPr>
        <w:t>(2): estrangement and cynicism</w:t>
      </w:r>
      <w:r w:rsidR="00867995">
        <w:rPr>
          <w:rFonts w:ascii="Calibri" w:hAnsi="Calibri" w:cs="Calibri"/>
          <w:b/>
          <w:bCs/>
        </w:rPr>
        <w:t>.</w:t>
      </w:r>
    </w:p>
    <w:p w14:paraId="4A8CE021" w14:textId="13AC7AD8" w:rsidR="004F16A9" w:rsidRDefault="00697146" w:rsidP="003E34A8">
      <w:pPr>
        <w:pStyle w:val="NormalWeb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some cases, opacity is</w:t>
      </w:r>
      <w:r w:rsidR="004F16A9">
        <w:rPr>
          <w:rFonts w:ascii="Calibri" w:hAnsi="Calibri" w:cs="Calibri"/>
        </w:rPr>
        <w:t xml:space="preserve"> interpreted</w:t>
      </w:r>
      <w:r>
        <w:rPr>
          <w:rFonts w:ascii="Calibri" w:hAnsi="Calibri" w:cs="Calibri"/>
        </w:rPr>
        <w:t>, rightly or not,</w:t>
      </w:r>
      <w:r w:rsidR="004F16A9">
        <w:rPr>
          <w:rFonts w:ascii="Calibri" w:hAnsi="Calibri" w:cs="Calibri"/>
        </w:rPr>
        <w:t xml:space="preserve"> as a product of deliberate </w:t>
      </w:r>
      <w:r w:rsidR="004F16A9" w:rsidRPr="00697146">
        <w:rPr>
          <w:rFonts w:ascii="Calibri" w:hAnsi="Calibri" w:cs="Calibri"/>
          <w:b/>
          <w:bCs/>
        </w:rPr>
        <w:t>opacification</w:t>
      </w:r>
      <w:r>
        <w:rPr>
          <w:rFonts w:ascii="Calibri" w:hAnsi="Calibri" w:cs="Calibri"/>
        </w:rPr>
        <w:t>:</w:t>
      </w:r>
    </w:p>
    <w:p w14:paraId="238DB2F5" w14:textId="77777777" w:rsidR="005433C6" w:rsidRPr="007E39A8" w:rsidRDefault="005433C6" w:rsidP="003E34A8">
      <w:pPr>
        <w:pStyle w:val="NormalWeb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61050330" w14:textId="5DE832E7" w:rsidR="007E39A8" w:rsidRDefault="00697146" w:rsidP="003E34A8">
      <w:pPr>
        <w:pStyle w:val="NormalWeb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Institutional opacity can encourage a sense of </w:t>
      </w:r>
      <w:r w:rsidRPr="00697146">
        <w:rPr>
          <w:rFonts w:ascii="Calibri" w:hAnsi="Calibri" w:cs="Calibri"/>
          <w:b/>
          <w:bCs/>
        </w:rPr>
        <w:t>estrangement</w:t>
      </w:r>
      <w:r>
        <w:rPr>
          <w:rFonts w:ascii="Calibri" w:hAnsi="Calibri" w:cs="Calibri"/>
        </w:rPr>
        <w:t>: the institution starts to seem strange, its decisions obscure, its reasoning impenetrable, and slowly becomes a source of confusion and frustration.</w:t>
      </w:r>
      <w:r w:rsidR="007E39A8">
        <w:rPr>
          <w:rFonts w:ascii="Calibri" w:hAnsi="Calibri" w:cs="Calibri"/>
        </w:rPr>
        <w:t xml:space="preserve"> This can lead to </w:t>
      </w:r>
      <w:r w:rsidR="007E39A8" w:rsidRPr="007E39A8">
        <w:rPr>
          <w:rFonts w:ascii="Calibri" w:hAnsi="Calibri" w:cs="Calibri"/>
          <w:b/>
          <w:bCs/>
        </w:rPr>
        <w:t>distrust</w:t>
      </w:r>
      <w:r w:rsidR="007E39A8">
        <w:rPr>
          <w:rFonts w:ascii="Calibri" w:hAnsi="Calibri" w:cs="Calibri"/>
        </w:rPr>
        <w:t xml:space="preserve"> – I cannot reliably tell </w:t>
      </w:r>
      <w:r w:rsidR="007E39A8" w:rsidRPr="00FC7E6B">
        <w:rPr>
          <w:rFonts w:ascii="Calibri" w:hAnsi="Calibri" w:cs="Calibri"/>
          <w:i/>
          <w:iCs/>
        </w:rPr>
        <w:t>what</w:t>
      </w:r>
      <w:r w:rsidR="007E39A8">
        <w:rPr>
          <w:rFonts w:ascii="Calibri" w:hAnsi="Calibri" w:cs="Calibri"/>
        </w:rPr>
        <w:t xml:space="preserve"> the institution’s </w:t>
      </w:r>
      <w:r w:rsidR="007E39A8" w:rsidRPr="00FC7E6B">
        <w:rPr>
          <w:rFonts w:ascii="Calibri" w:hAnsi="Calibri" w:cs="Calibri"/>
          <w:i/>
          <w:iCs/>
        </w:rPr>
        <w:t>actual</w:t>
      </w:r>
      <w:r w:rsidR="007E39A8">
        <w:rPr>
          <w:rFonts w:ascii="Calibri" w:hAnsi="Calibri" w:cs="Calibri"/>
        </w:rPr>
        <w:t xml:space="preserve"> commitments are (cf. Hawley</w:t>
      </w:r>
      <w:r w:rsidR="00FC7E6B">
        <w:rPr>
          <w:rFonts w:ascii="Calibri" w:hAnsi="Calibri" w:cs="Calibri"/>
        </w:rPr>
        <w:t xml:space="preserve"> 2014</w:t>
      </w:r>
      <w:r w:rsidR="007E39A8">
        <w:rPr>
          <w:rFonts w:ascii="Calibri" w:hAnsi="Calibri" w:cs="Calibri"/>
        </w:rPr>
        <w:t>).</w:t>
      </w:r>
    </w:p>
    <w:p w14:paraId="2FF5BF48" w14:textId="77777777" w:rsidR="003E34A8" w:rsidRPr="003E34A8" w:rsidRDefault="003E34A8" w:rsidP="003E34A8">
      <w:pPr>
        <w:pStyle w:val="NormalWeb"/>
        <w:spacing w:line="276" w:lineRule="auto"/>
        <w:ind w:left="720"/>
        <w:jc w:val="both"/>
        <w:rPr>
          <w:rFonts w:ascii="Calibri" w:hAnsi="Calibri" w:cs="Calibri"/>
          <w:sz w:val="10"/>
          <w:szCs w:val="10"/>
        </w:rPr>
      </w:pPr>
    </w:p>
    <w:p w14:paraId="54E66DCD" w14:textId="545FFB88" w:rsidR="007E39A8" w:rsidRPr="007E39A8" w:rsidRDefault="00697146" w:rsidP="003E34A8">
      <w:pPr>
        <w:pStyle w:val="NormalWeb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Institutional opacity can</w:t>
      </w:r>
      <w:r w:rsidR="007E39A8">
        <w:rPr>
          <w:rFonts w:ascii="Calibri" w:hAnsi="Calibri" w:cs="Calibri"/>
        </w:rPr>
        <w:t xml:space="preserve"> feed</w:t>
      </w:r>
      <w:r>
        <w:rPr>
          <w:rFonts w:ascii="Calibri" w:hAnsi="Calibri" w:cs="Calibri"/>
        </w:rPr>
        <w:t xml:space="preserve"> a </w:t>
      </w:r>
      <w:r w:rsidR="007E39A8">
        <w:rPr>
          <w:rFonts w:ascii="Calibri" w:hAnsi="Calibri" w:cs="Calibri"/>
        </w:rPr>
        <w:t>kind</w:t>
      </w:r>
      <w:r>
        <w:rPr>
          <w:rFonts w:ascii="Calibri" w:hAnsi="Calibri" w:cs="Calibri"/>
        </w:rPr>
        <w:t xml:space="preserve"> of </w:t>
      </w:r>
      <w:r w:rsidRPr="00697146">
        <w:rPr>
          <w:rFonts w:ascii="Calibri" w:hAnsi="Calibri" w:cs="Calibri"/>
          <w:b/>
          <w:bCs/>
        </w:rPr>
        <w:t>cynicism</w:t>
      </w:r>
      <w:r w:rsidR="007E39A8">
        <w:rPr>
          <w:rFonts w:ascii="Calibri" w:hAnsi="Calibri" w:cs="Calibri"/>
        </w:rPr>
        <w:t xml:space="preserve">, the convictions that the </w:t>
      </w:r>
      <w:r w:rsidR="007E39A8" w:rsidRPr="003256FF">
        <w:rPr>
          <w:rFonts w:ascii="Calibri" w:hAnsi="Calibri" w:cs="Calibri"/>
          <w:i/>
          <w:iCs/>
          <w:color w:val="383735"/>
          <w:shd w:val="clear" w:color="auto" w:fill="FFFFFF"/>
        </w:rPr>
        <w:t>professed</w:t>
      </w:r>
      <w:r w:rsidR="007E39A8" w:rsidRPr="007E39A8">
        <w:rPr>
          <w:rFonts w:ascii="Calibri" w:hAnsi="Calibri" w:cs="Calibri"/>
          <w:color w:val="383735"/>
          <w:shd w:val="clear" w:color="auto" w:fill="FFFFFF"/>
        </w:rPr>
        <w:t xml:space="preserve"> motivations</w:t>
      </w:r>
      <w:r w:rsidR="007E39A8">
        <w:rPr>
          <w:rFonts w:ascii="Calibri" w:hAnsi="Calibri" w:cs="Calibri"/>
          <w:color w:val="383735"/>
          <w:shd w:val="clear" w:color="auto" w:fill="FFFFFF"/>
        </w:rPr>
        <w:t>, reasoning,</w:t>
      </w:r>
      <w:r w:rsidR="007E39A8" w:rsidRPr="007E39A8">
        <w:rPr>
          <w:rFonts w:ascii="Calibri" w:hAnsi="Calibri" w:cs="Calibri"/>
          <w:color w:val="383735"/>
          <w:shd w:val="clear" w:color="auto" w:fill="FFFFFF"/>
        </w:rPr>
        <w:t xml:space="preserve"> values of an institution are</w:t>
      </w:r>
      <w:r w:rsidR="003256FF">
        <w:rPr>
          <w:rFonts w:ascii="Calibri" w:hAnsi="Calibri" w:cs="Calibri"/>
          <w:color w:val="383735"/>
          <w:shd w:val="clear" w:color="auto" w:fill="FFFFFF"/>
        </w:rPr>
        <w:t xml:space="preserve">, </w:t>
      </w:r>
      <w:r w:rsidR="007E39A8" w:rsidRPr="007E39A8">
        <w:rPr>
          <w:rFonts w:ascii="Calibri" w:hAnsi="Calibri" w:cs="Calibri"/>
          <w:color w:val="383735"/>
          <w:shd w:val="clear" w:color="auto" w:fill="FFFFFF"/>
        </w:rPr>
        <w:t>or are likely to be</w:t>
      </w:r>
      <w:r w:rsidR="003256FF">
        <w:rPr>
          <w:rFonts w:ascii="Calibri" w:hAnsi="Calibri" w:cs="Calibri"/>
          <w:color w:val="383735"/>
          <w:shd w:val="clear" w:color="auto" w:fill="FFFFFF"/>
        </w:rPr>
        <w:t>,</w:t>
      </w:r>
      <w:r w:rsidR="007E39A8">
        <w:rPr>
          <w:rFonts w:ascii="Calibri" w:hAnsi="Calibri" w:cs="Calibri"/>
          <w:color w:val="383735"/>
          <w:shd w:val="clear" w:color="auto" w:fill="FFFFFF"/>
        </w:rPr>
        <w:t xml:space="preserve"> </w:t>
      </w:r>
      <w:r w:rsidR="003256FF">
        <w:rPr>
          <w:rFonts w:ascii="Calibri" w:hAnsi="Calibri" w:cs="Calibri"/>
          <w:color w:val="383735"/>
          <w:shd w:val="clear" w:color="auto" w:fill="FFFFFF"/>
        </w:rPr>
        <w:t xml:space="preserve">(i) </w:t>
      </w:r>
      <w:r w:rsidR="007E39A8" w:rsidRPr="003256FF">
        <w:rPr>
          <w:rFonts w:ascii="Calibri" w:hAnsi="Calibri" w:cs="Calibri"/>
          <w:b/>
          <w:bCs/>
          <w:color w:val="383735"/>
          <w:shd w:val="clear" w:color="auto" w:fill="FFFFFF"/>
        </w:rPr>
        <w:t>different</w:t>
      </w:r>
      <w:r w:rsidR="007E39A8" w:rsidRPr="007E39A8">
        <w:rPr>
          <w:rFonts w:ascii="Calibri" w:hAnsi="Calibri" w:cs="Calibri"/>
          <w:color w:val="383735"/>
          <w:shd w:val="clear" w:color="auto" w:fill="FFFFFF"/>
        </w:rPr>
        <w:t xml:space="preserve"> </w:t>
      </w:r>
      <w:r w:rsidR="003256FF">
        <w:rPr>
          <w:rFonts w:ascii="Calibri" w:hAnsi="Calibri" w:cs="Calibri"/>
          <w:color w:val="383735"/>
          <w:shd w:val="clear" w:color="auto" w:fill="FFFFFF"/>
        </w:rPr>
        <w:t>and (ii)</w:t>
      </w:r>
      <w:r w:rsidR="007E39A8">
        <w:rPr>
          <w:rFonts w:ascii="Calibri" w:hAnsi="Calibri" w:cs="Calibri"/>
          <w:color w:val="383735"/>
          <w:shd w:val="clear" w:color="auto" w:fill="FFFFFF"/>
        </w:rPr>
        <w:t xml:space="preserve"> epistemically and/or</w:t>
      </w:r>
      <w:r w:rsidR="007E39A8" w:rsidRPr="007E39A8">
        <w:rPr>
          <w:rFonts w:ascii="Calibri" w:hAnsi="Calibri" w:cs="Calibri"/>
          <w:color w:val="383735"/>
          <w:shd w:val="clear" w:color="auto" w:fill="FFFFFF"/>
        </w:rPr>
        <w:t xml:space="preserve"> morally </w:t>
      </w:r>
      <w:r w:rsidR="007E39A8" w:rsidRPr="003256FF">
        <w:rPr>
          <w:rFonts w:ascii="Calibri" w:hAnsi="Calibri" w:cs="Calibri"/>
          <w:b/>
          <w:bCs/>
          <w:color w:val="383735"/>
          <w:shd w:val="clear" w:color="auto" w:fill="FFFFFF"/>
        </w:rPr>
        <w:t>lesser</w:t>
      </w:r>
      <w:r w:rsidR="007E39A8" w:rsidRPr="007E39A8">
        <w:rPr>
          <w:rFonts w:ascii="Calibri" w:hAnsi="Calibri" w:cs="Calibri"/>
          <w:color w:val="383735"/>
          <w:shd w:val="clear" w:color="auto" w:fill="FFFFFF"/>
        </w:rPr>
        <w:t xml:space="preserve"> than the </w:t>
      </w:r>
      <w:r w:rsidR="003256FF" w:rsidRPr="003256FF">
        <w:rPr>
          <w:rFonts w:ascii="Calibri" w:hAnsi="Calibri" w:cs="Calibri"/>
          <w:i/>
          <w:iCs/>
          <w:color w:val="383735"/>
          <w:shd w:val="clear" w:color="auto" w:fill="FFFFFF"/>
        </w:rPr>
        <w:t>actual</w:t>
      </w:r>
      <w:r w:rsidR="007E39A8" w:rsidRPr="007E39A8">
        <w:rPr>
          <w:rFonts w:ascii="Calibri" w:hAnsi="Calibri" w:cs="Calibri"/>
          <w:color w:val="383735"/>
          <w:shd w:val="clear" w:color="auto" w:fill="FFFFFF"/>
        </w:rPr>
        <w:t xml:space="preserve"> ones (Kidd 2023).</w:t>
      </w:r>
    </w:p>
    <w:p w14:paraId="17B274A5" w14:textId="2624EC73" w:rsidR="00005BF9" w:rsidRPr="00005BF9" w:rsidRDefault="00FC7E6B" w:rsidP="003E34A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this is right, institutional opacity is one important obstacle to </w:t>
      </w:r>
      <w:r w:rsidR="00A77C77">
        <w:rPr>
          <w:rFonts w:ascii="Calibri" w:hAnsi="Calibri" w:cs="Calibri"/>
        </w:rPr>
        <w:t xml:space="preserve">sustaining </w:t>
      </w:r>
      <w:r>
        <w:rPr>
          <w:rFonts w:ascii="Calibri" w:hAnsi="Calibri" w:cs="Calibri"/>
        </w:rPr>
        <w:t xml:space="preserve">institutional trust. </w:t>
      </w:r>
    </w:p>
    <w:p w14:paraId="6DDDD972" w14:textId="46EAA45C" w:rsidR="00005BF9" w:rsidRDefault="00005BF9" w:rsidP="003E34A8">
      <w:pPr>
        <w:spacing w:line="276" w:lineRule="auto"/>
        <w:jc w:val="both"/>
        <w:rPr>
          <w:rFonts w:ascii="Calibri" w:hAnsi="Calibri" w:cs="Calibri"/>
        </w:rPr>
      </w:pPr>
    </w:p>
    <w:p w14:paraId="32B04101" w14:textId="7717DA0C" w:rsidR="003E34A8" w:rsidRDefault="003E34A8" w:rsidP="003E34A8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IJK</w:t>
      </w:r>
    </w:p>
    <w:p w14:paraId="0C64694E" w14:textId="77777777" w:rsidR="00FF3D65" w:rsidRPr="00FF3D65" w:rsidRDefault="00FF3D65" w:rsidP="003E34A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4E0B1638" w14:textId="1815838D" w:rsidR="00005BF9" w:rsidRPr="003E34A8" w:rsidRDefault="00005BF9" w:rsidP="003E34A8">
      <w:pPr>
        <w:spacing w:line="276" w:lineRule="auto"/>
        <w:jc w:val="both"/>
        <w:rPr>
          <w:rFonts w:ascii="Calibri" w:hAnsi="Calibri" w:cs="Calibri"/>
        </w:rPr>
      </w:pPr>
      <w:r w:rsidRPr="003E34A8">
        <w:rPr>
          <w:rFonts w:ascii="Calibri" w:hAnsi="Calibri" w:cs="Calibri"/>
          <w:b/>
          <w:bCs/>
        </w:rPr>
        <w:t>REFERENCES</w:t>
      </w:r>
    </w:p>
    <w:p w14:paraId="439E5572" w14:textId="3741C16A" w:rsidR="007E39A8" w:rsidRPr="00FF3D65" w:rsidRDefault="00005BF9" w:rsidP="003E34A8">
      <w:pPr>
        <w:spacing w:line="276" w:lineRule="auto"/>
        <w:ind w:left="284" w:right="95" w:hanging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FF3D65">
        <w:rPr>
          <w:rFonts w:ascii="Calibri" w:hAnsi="Calibri" w:cs="Calibri"/>
          <w:sz w:val="20"/>
          <w:szCs w:val="20"/>
        </w:rPr>
        <w:t>Carel, Havi and Ian James Kidd (2022) 'Institutional Opacity, Epistemic Vulnerability, and Institutional Testimonial Justice'</w:t>
      </w:r>
      <w:r w:rsidR="00FC7E6B" w:rsidRPr="00FF3D65">
        <w:rPr>
          <w:rFonts w:ascii="Calibri" w:hAnsi="Calibri" w:cs="Calibri"/>
          <w:sz w:val="20"/>
          <w:szCs w:val="20"/>
        </w:rPr>
        <w:t>,</w:t>
      </w:r>
      <w:r w:rsidRPr="00FF3D65">
        <w:rPr>
          <w:rFonts w:ascii="Calibri" w:hAnsi="Calibri" w:cs="Calibri"/>
          <w:sz w:val="20"/>
          <w:szCs w:val="20"/>
        </w:rPr>
        <w:t xml:space="preserve"> </w:t>
      </w:r>
      <w:r w:rsidRPr="00FF3D65">
        <w:rPr>
          <w:rFonts w:ascii="Calibri" w:hAnsi="Calibri" w:cs="Calibri"/>
          <w:i/>
          <w:iCs/>
          <w:sz w:val="20"/>
          <w:szCs w:val="20"/>
        </w:rPr>
        <w:t>International Journal of Philosophical Studies</w:t>
      </w:r>
      <w:r w:rsidRPr="00FF3D65">
        <w:rPr>
          <w:rFonts w:ascii="Calibri" w:hAnsi="Calibri" w:cs="Calibri"/>
          <w:sz w:val="20"/>
          <w:szCs w:val="20"/>
        </w:rPr>
        <w:t xml:space="preserve"> 29.4: </w:t>
      </w:r>
      <w:r w:rsidRPr="00FF3D65">
        <w:rPr>
          <w:rFonts w:ascii="Calibri" w:hAnsi="Calibri" w:cs="Calibri"/>
          <w:sz w:val="20"/>
          <w:szCs w:val="20"/>
          <w:shd w:val="clear" w:color="auto" w:fill="FFFFFF"/>
        </w:rPr>
        <w:t>473-496.</w:t>
      </w:r>
    </w:p>
    <w:p w14:paraId="6831CFDF" w14:textId="4EE50930" w:rsidR="007E39A8" w:rsidRPr="00FF3D65" w:rsidRDefault="007E39A8" w:rsidP="003E34A8">
      <w:pPr>
        <w:spacing w:line="276" w:lineRule="auto"/>
        <w:ind w:left="284" w:right="95" w:hanging="284"/>
        <w:jc w:val="both"/>
        <w:rPr>
          <w:rFonts w:ascii="Calibri" w:eastAsiaTheme="minorHAnsi" w:hAnsi="Calibri" w:cs="Calibri"/>
          <w:sz w:val="20"/>
          <w:szCs w:val="20"/>
          <w:shd w:val="clear" w:color="auto" w:fill="FFFFFF"/>
          <w:lang w:eastAsia="en-US"/>
        </w:rPr>
      </w:pPr>
      <w:r w:rsidRPr="00FF3D65">
        <w:rPr>
          <w:rFonts w:ascii="Calibri" w:hAnsi="Calibri" w:cs="Calibri"/>
          <w:sz w:val="20"/>
          <w:szCs w:val="20"/>
          <w:shd w:val="clear" w:color="auto" w:fill="FFFFFF"/>
        </w:rPr>
        <w:t xml:space="preserve">Hawley, Katherine (2014) </w:t>
      </w:r>
      <w:r w:rsidRPr="00FF3D65">
        <w:rPr>
          <w:rFonts w:ascii="Calibri" w:hAnsi="Calibri" w:cs="Calibri"/>
          <w:sz w:val="20"/>
          <w:szCs w:val="20"/>
        </w:rPr>
        <w:t xml:space="preserve">‘Trust, Distrust and Commitment’, </w:t>
      </w:r>
      <w:r w:rsidRPr="007E39A8">
        <w:rPr>
          <w:rFonts w:ascii="Calibri" w:hAnsi="Calibri" w:cs="Calibri"/>
          <w:i/>
          <w:iCs/>
          <w:color w:val="000000" w:themeColor="text1"/>
          <w:sz w:val="20"/>
          <w:szCs w:val="20"/>
        </w:rPr>
        <w:t>Noûs</w:t>
      </w:r>
      <w:r w:rsidRPr="007E39A8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 48</w:t>
      </w:r>
      <w:r w:rsidRPr="00FF3D65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.</w:t>
      </w:r>
      <w:r w:rsidRPr="007E39A8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1:</w:t>
      </w:r>
      <w:r w:rsidRPr="00FF3D65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 w:rsidRPr="007E39A8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1-20</w:t>
      </w:r>
      <w:r w:rsidRPr="00FF3D65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.</w:t>
      </w:r>
    </w:p>
    <w:p w14:paraId="000B5741" w14:textId="77777777" w:rsidR="001C498D" w:rsidRDefault="00697146" w:rsidP="001C498D">
      <w:pPr>
        <w:spacing w:line="276" w:lineRule="auto"/>
        <w:ind w:left="284" w:right="95" w:hanging="284"/>
        <w:jc w:val="both"/>
        <w:rPr>
          <w:rFonts w:ascii="Calibri" w:hAnsi="Calibri" w:cs="Calibri"/>
          <w:bCs/>
          <w:iCs/>
          <w:sz w:val="20"/>
          <w:szCs w:val="20"/>
        </w:rPr>
      </w:pPr>
      <w:r w:rsidRPr="00FF3D65">
        <w:rPr>
          <w:rFonts w:ascii="Calibri" w:hAnsi="Calibri" w:cs="Calibri"/>
          <w:sz w:val="20"/>
          <w:szCs w:val="20"/>
          <w:shd w:val="clear" w:color="auto" w:fill="FFFFFF"/>
        </w:rPr>
        <w:t xml:space="preserve">Kidd, Ian James (2023) </w:t>
      </w:r>
      <w:r w:rsidRPr="00FF3D65">
        <w:rPr>
          <w:rFonts w:ascii="Calibri" w:hAnsi="Calibri" w:cs="Calibri"/>
          <w:bCs/>
          <w:sz w:val="20"/>
          <w:szCs w:val="20"/>
        </w:rPr>
        <w:t>‘Institutional Cynicism and Civic Virtue’, Hana Samaržija and Quassim Cassam (eds.)</w:t>
      </w:r>
      <w:r w:rsidR="003E34A8" w:rsidRPr="00FF3D65">
        <w:rPr>
          <w:rFonts w:ascii="Calibri" w:hAnsi="Calibri" w:cs="Calibri"/>
          <w:bCs/>
          <w:sz w:val="20"/>
          <w:szCs w:val="20"/>
        </w:rPr>
        <w:t>,</w:t>
      </w:r>
      <w:r w:rsidRPr="00FF3D65">
        <w:rPr>
          <w:rFonts w:ascii="Calibri" w:hAnsi="Calibri" w:cs="Calibri"/>
          <w:bCs/>
          <w:sz w:val="20"/>
          <w:szCs w:val="20"/>
        </w:rPr>
        <w:t xml:space="preserve"> </w:t>
      </w:r>
      <w:r w:rsidRPr="00FF3D65">
        <w:rPr>
          <w:rFonts w:ascii="Calibri" w:hAnsi="Calibri" w:cs="Calibri"/>
          <w:bCs/>
          <w:i/>
          <w:sz w:val="20"/>
          <w:szCs w:val="20"/>
        </w:rPr>
        <w:t>The Epistemology of Democracy</w:t>
      </w:r>
      <w:r w:rsidRPr="00FF3D65">
        <w:rPr>
          <w:rFonts w:ascii="Calibri" w:hAnsi="Calibri" w:cs="Calibri"/>
          <w:bCs/>
          <w:iCs/>
          <w:sz w:val="20"/>
          <w:szCs w:val="20"/>
        </w:rPr>
        <w:t xml:space="preserve"> (New York: Routledge), 152-169</w:t>
      </w:r>
      <w:r w:rsidR="003E34A8" w:rsidRPr="00FF3D65">
        <w:rPr>
          <w:rFonts w:ascii="Calibri" w:hAnsi="Calibri" w:cs="Calibri"/>
          <w:bCs/>
          <w:iCs/>
          <w:sz w:val="20"/>
          <w:szCs w:val="20"/>
        </w:rPr>
        <w:t>.</w:t>
      </w:r>
    </w:p>
    <w:p w14:paraId="097C8456" w14:textId="2D49B757" w:rsidR="00FF3D65" w:rsidRPr="00FF3D65" w:rsidRDefault="00FF3D65" w:rsidP="001C498D">
      <w:pPr>
        <w:spacing w:line="276" w:lineRule="auto"/>
        <w:ind w:left="284" w:right="95" w:hanging="284"/>
        <w:jc w:val="both"/>
        <w:rPr>
          <w:rFonts w:ascii="Calibri" w:hAnsi="Calibri" w:cs="Calibri"/>
          <w:bCs/>
          <w:iCs/>
          <w:sz w:val="20"/>
          <w:szCs w:val="20"/>
        </w:rPr>
      </w:pPr>
      <w:r w:rsidRPr="00FF3D65">
        <w:rPr>
          <w:rFonts w:ascii="Calibri" w:hAnsi="Calibri" w:cs="Calibri"/>
          <w:sz w:val="20"/>
          <w:szCs w:val="20"/>
        </w:rPr>
        <w:t xml:space="preserve">Nguyen, C. Thi (2022) ‘Transparency is Surveillance’, </w:t>
      </w:r>
      <w:r w:rsidRPr="00FF3D65">
        <w:rPr>
          <w:rFonts w:ascii="Calibri" w:hAnsi="Calibri" w:cs="Calibri"/>
          <w:i/>
          <w:iCs/>
          <w:sz w:val="20"/>
          <w:szCs w:val="20"/>
        </w:rPr>
        <w:t>Philosophy and Phenomenological Research</w:t>
      </w:r>
      <w:r w:rsidRPr="00FF3D65">
        <w:rPr>
          <w:rFonts w:ascii="Calibri" w:hAnsi="Calibri" w:cs="Calibri"/>
          <w:sz w:val="20"/>
          <w:szCs w:val="20"/>
        </w:rPr>
        <w:t> 105.2:331-361.</w:t>
      </w:r>
    </w:p>
    <w:sectPr w:rsidR="00FF3D65" w:rsidRPr="00FF3D65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1CF"/>
    <w:multiLevelType w:val="hybridMultilevel"/>
    <w:tmpl w:val="613007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464"/>
    <w:multiLevelType w:val="hybridMultilevel"/>
    <w:tmpl w:val="FBE63280"/>
    <w:lvl w:ilvl="0" w:tplc="9F528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194C"/>
    <w:multiLevelType w:val="hybridMultilevel"/>
    <w:tmpl w:val="35F216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336F1"/>
    <w:multiLevelType w:val="hybridMultilevel"/>
    <w:tmpl w:val="AD4CF08E"/>
    <w:lvl w:ilvl="0" w:tplc="BD981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7E11"/>
    <w:multiLevelType w:val="hybridMultilevel"/>
    <w:tmpl w:val="30B4B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69F1"/>
    <w:multiLevelType w:val="hybridMultilevel"/>
    <w:tmpl w:val="09FA3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3FA2"/>
    <w:multiLevelType w:val="hybridMultilevel"/>
    <w:tmpl w:val="B3BE0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452"/>
    <w:multiLevelType w:val="hybridMultilevel"/>
    <w:tmpl w:val="11EE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C53B0"/>
    <w:multiLevelType w:val="hybridMultilevel"/>
    <w:tmpl w:val="7C0686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4405B9"/>
    <w:multiLevelType w:val="hybridMultilevel"/>
    <w:tmpl w:val="6CF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7F80"/>
    <w:multiLevelType w:val="hybridMultilevel"/>
    <w:tmpl w:val="6EDE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F9"/>
    <w:rsid w:val="00005BF9"/>
    <w:rsid w:val="00110AEF"/>
    <w:rsid w:val="00172169"/>
    <w:rsid w:val="001C498D"/>
    <w:rsid w:val="003256FF"/>
    <w:rsid w:val="003E34A8"/>
    <w:rsid w:val="0046738A"/>
    <w:rsid w:val="004F16A9"/>
    <w:rsid w:val="00512A09"/>
    <w:rsid w:val="00527E9E"/>
    <w:rsid w:val="005433C6"/>
    <w:rsid w:val="00556ED7"/>
    <w:rsid w:val="00561472"/>
    <w:rsid w:val="00697146"/>
    <w:rsid w:val="00732649"/>
    <w:rsid w:val="007E39A8"/>
    <w:rsid w:val="00867995"/>
    <w:rsid w:val="00992EF8"/>
    <w:rsid w:val="00A704AE"/>
    <w:rsid w:val="00A77C77"/>
    <w:rsid w:val="00AA401B"/>
    <w:rsid w:val="00B137AD"/>
    <w:rsid w:val="00C06E45"/>
    <w:rsid w:val="00DC05AE"/>
    <w:rsid w:val="00E234B1"/>
    <w:rsid w:val="00FC7E6B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109D9"/>
  <w14:defaultImageDpi w14:val="32767"/>
  <w15:chartTrackingRefBased/>
  <w15:docId w15:val="{A90C50F3-D31C-5247-89A6-7418CD8A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3D6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F3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B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433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697146"/>
    <w:pPr>
      <w:ind w:left="720" w:hanging="720"/>
    </w:pPr>
    <w:rPr>
      <w:rFonts w:ascii="Palatino" w:eastAsiaTheme="minorEastAsia" w:hAnsi="Palatino" w:cs="Times New Roman"/>
      <w:color w:val="000000" w:themeColor="text1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7E39A8"/>
  </w:style>
  <w:style w:type="character" w:styleId="Emphasis">
    <w:name w:val="Emphasis"/>
    <w:basedOn w:val="DefaultParagraphFont"/>
    <w:uiPriority w:val="20"/>
    <w:qFormat/>
    <w:rsid w:val="007E39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39A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D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me">
    <w:name w:val="name"/>
    <w:basedOn w:val="DefaultParagraphFont"/>
    <w:rsid w:val="00FF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54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25</cp:revision>
  <dcterms:created xsi:type="dcterms:W3CDTF">2023-03-21T10:01:00Z</dcterms:created>
  <dcterms:modified xsi:type="dcterms:W3CDTF">2023-03-23T14:40:00Z</dcterms:modified>
</cp:coreProperties>
</file>